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1"/>
        <w:gridCol w:w="11954"/>
      </w:tblGrid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發文單位：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內政部</w:t>
            </w:r>
          </w:p>
        </w:tc>
      </w:tr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74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）台內</w:t>
            </w:r>
            <w:proofErr w:type="gramStart"/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</w:t>
            </w:r>
            <w:proofErr w:type="gramEnd"/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字第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357972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號函</w:t>
            </w:r>
          </w:p>
        </w:tc>
      </w:tr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民國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74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12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04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日</w:t>
            </w:r>
          </w:p>
        </w:tc>
      </w:tr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資料來源：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81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10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170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84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10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223-225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86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4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236</w:t>
            </w:r>
            <w:bookmarkStart w:id="0" w:name="_GoBack"/>
            <w:bookmarkEnd w:id="0"/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-238 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87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5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238-240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89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1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248-250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勞動基準法暨附屬法規解釋令彙編（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90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6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273-275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br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勞動基準法規彙編（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96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7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月版）第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 248-249 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頁</w:t>
            </w:r>
          </w:p>
        </w:tc>
      </w:tr>
      <w:bookmarkStart w:id="1" w:name="Law"/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fldChar w:fldCharType="begin"/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instrText xml:space="preserve"> HYPERLINK "https://laws.mol.gov.tw/FINT/FINTQRY05.aspx?ecode=N00000&amp;edate=19851204&amp;ecase=%EF%BC%8874%EF%BC%89%E5%8F%B0%E5%85%A7%E5%8B%9E&amp;eno=357972&amp;tbl=Ferela&amp;til=%EF%BC%8874%EF%BC%89%E5%8F%B0%E5%85%A7%E5%8B%9E%E5%AD%97%E7%AC%AC%20357972%20%E8%99%9F%20%E5%87%BD" </w:instrTex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fldChar w:fldCharType="separate"/>
            </w:r>
            <w:r w:rsidRPr="00B342F2">
              <w:rPr>
                <w:rFonts w:ascii="Consolas" w:eastAsia="新細明體" w:hAnsi="Consolas" w:cs="新細明體"/>
                <w:color w:val="0066CC"/>
                <w:kern w:val="0"/>
                <w:szCs w:val="24"/>
              </w:rPr>
              <w:t>相關法條：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hyperlink r:id="rId5" w:history="1"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>勞動基準法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 xml:space="preserve"> 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>第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 xml:space="preserve"> 32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>、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 xml:space="preserve">34 </w:t>
              </w:r>
              <w:r w:rsidRPr="00B342F2">
                <w:rPr>
                  <w:rFonts w:ascii="Consolas" w:eastAsia="新細明體" w:hAnsi="Consolas" w:cs="新細明體"/>
                  <w:color w:val="0066CC"/>
                  <w:kern w:val="0"/>
                  <w:szCs w:val="24"/>
                </w:rPr>
                <w:t>條</w:t>
              </w:r>
            </w:hyperlink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（民國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73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年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07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月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 xml:space="preserve"> 30 </w:t>
            </w: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日版）</w:t>
            </w:r>
          </w:p>
        </w:tc>
      </w:tr>
      <w:tr w:rsidR="00B342F2" w:rsidRPr="00B342F2" w:rsidTr="00B342F2">
        <w:tc>
          <w:tcPr>
            <w:tcW w:w="1455" w:type="dxa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42F2" w:rsidRPr="00B342F2" w:rsidRDefault="00B342F2" w:rsidP="00B342F2">
            <w:pPr>
              <w:widowControl/>
              <w:jc w:val="center"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  <w:r w:rsidRPr="00B342F2"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  <w:t>要　　旨：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事業單位實施勞工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應行注意事項</w:t>
            </w:r>
          </w:p>
          <w:p w:rsidR="00B342F2" w:rsidRPr="00B342F2" w:rsidRDefault="00B342F2" w:rsidP="00B342F2">
            <w:pPr>
              <w:widowControl/>
              <w:rPr>
                <w:rFonts w:ascii="Consolas" w:eastAsia="新細明體" w:hAnsi="Consolas" w:cs="新細明體"/>
                <w:color w:val="000000"/>
                <w:kern w:val="0"/>
                <w:szCs w:val="24"/>
              </w:rPr>
            </w:pPr>
          </w:p>
        </w:tc>
      </w:tr>
      <w:tr w:rsidR="00B342F2" w:rsidRPr="00B342F2" w:rsidTr="00B342F2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0" w:type="dxa"/>
            </w:tcMar>
            <w:vAlign w:val="center"/>
            <w:hideMark/>
          </w:tcPr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全文內容：一  本注意事項所稱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，</w:t>
            </w:r>
            <w:proofErr w:type="gramStart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依指勞工</w:t>
            </w:r>
            <w:proofErr w:type="gramEnd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應事業單位要求，於工作時間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</w:t>
            </w:r>
            <w:proofErr w:type="gramStart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以外，</w:t>
            </w:r>
            <w:proofErr w:type="gramEnd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從事非勞動契約約定之工作，如收轉急要文件、接聽電話、巡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察事業場所及緊急事故之通知、聯繫或處理等工作而言。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二  事業單位為因應其業務需要，經徵求勞工之同意，得要求勞工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夜) 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三  前項之要求，得經由團體協約、或勞資會議決定或規定於工作規則。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規定於工作規則者，應檢附該事業單位工會或勞工半數以上之同意書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四  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之報酬、補休及週期，依左列規定。但工作日不得同時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>值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              日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復值夜。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五  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津貼應由</w:t>
            </w:r>
            <w:proofErr w:type="gramStart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勞</w:t>
            </w:r>
            <w:proofErr w:type="gramEnd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雇雙方議定，並應遵守同工同酬之原則。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六  事業單位對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勞工應供應適當之飲食、休憩及睡眠設備。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七  事業單位應充分考慮勞工之年齡、體能及處事能力等安排值 (日) 夜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事宜。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八  事業單位不得使童工從事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、女工從事值夜。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附註：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事業單位多有實施勞工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之情況，特訂定「勞工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應行注意事項」，作為處理準則。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二  勞工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(值夜) 工作，本部認定非正常工作之延伸，基此，就法理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而言，勞工並無擔任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之義務。事業單位如確有必要要求</w:t>
            </w:r>
            <w:proofErr w:type="gramStart"/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勞</w:t>
            </w:r>
            <w:proofErr w:type="gramEnd"/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工</w:t>
            </w:r>
            <w:r w:rsidRPr="00B342F2">
              <w:rPr>
                <w:rFonts w:ascii="細明體" w:eastAsia="細明體" w:hAnsi="細明體" w:cs="細明體" w:hint="eastAsia"/>
                <w:color w:val="CC0000"/>
                <w:kern w:val="0"/>
                <w:szCs w:val="24"/>
              </w:rPr>
              <w:t xml:space="preserve">值日 </w:t>
            </w: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(夜) ，須徵得勞工同意，而基於勞資合作之精神，勞工自應</w:t>
            </w:r>
          </w:p>
          <w:p w:rsidR="00B342F2" w:rsidRPr="00B342F2" w:rsidRDefault="00B342F2" w:rsidP="00B342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B342F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儘量與雇主配合。</w:t>
            </w:r>
          </w:p>
        </w:tc>
      </w:tr>
    </w:tbl>
    <w:p w:rsidR="00C00858" w:rsidRDefault="00C00858"/>
    <w:sectPr w:rsidR="00C00858" w:rsidSect="00B342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D2192"/>
    <w:multiLevelType w:val="multilevel"/>
    <w:tmpl w:val="1AC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2"/>
    <w:rsid w:val="00172F18"/>
    <w:rsid w:val="00B342F2"/>
    <w:rsid w:val="00C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A1AD6-F656-4333-97EA-08876C1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s.mol.gov.tw/FINT/FINTQRY05.aspx?ecode=N00000&amp;edate=19851204&amp;ecase=%EF%BC%8874%EF%BC%89%E5%8F%B0%E5%85%A7%E5%8B%9E&amp;eno=357972&amp;tbl=Ferela&amp;til=%EF%BC%8874%EF%BC%89%E5%8F%B0%E5%85%A7%E5%8B%9E%E5%AD%97%E7%AC%AC%20357972%20%E8%99%9F%20%E5%87%BD&amp;lsid=FL014930&amp;ldate=19840730&amp;nh=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</cp:revision>
  <dcterms:created xsi:type="dcterms:W3CDTF">2017-08-24T07:39:00Z</dcterms:created>
  <dcterms:modified xsi:type="dcterms:W3CDTF">2017-08-24T07:40:00Z</dcterms:modified>
</cp:coreProperties>
</file>